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color w:val="000000"/>
        </w:rPr>
      </w:pPr>
      <w:r>
        <w:rPr>
          <w:color w:val="000000"/>
        </w:rPr>
      </w:r>
    </w:p>
    <w:tbl>
      <w:tblPr>
        <w:tblW w:w="10772" w:type="dxa"/>
        <w:jc w:val="left"/>
        <w:tblInd w:w="0" w:type="dxa"/>
        <w:shd w:fill="FFFFFF" w:val="clear"/>
        <w:tblLayout w:type="fixed"/>
        <w:tblCellMar>
          <w:top w:w="120" w:type="dxa"/>
          <w:left w:w="120" w:type="dxa"/>
          <w:bottom w:w="120" w:type="dxa"/>
          <w:right w:w="120" w:type="dxa"/>
        </w:tblCellMar>
      </w:tblPr>
      <w:tblGrid>
        <w:gridCol w:w="1185"/>
        <w:gridCol w:w="1251"/>
        <w:gridCol w:w="5484"/>
        <w:gridCol w:w="2852"/>
      </w:tblGrid>
      <w:tr>
        <w:trPr/>
        <w:tc>
          <w:tcPr>
            <w:tcW w:w="1185" w:type="dxa"/>
            <w:tcBorders>
              <w:top w:val="single" w:sz="2" w:space="0" w:color="DDDDDD"/>
              <w:left w:val="single" w:sz="2" w:space="0" w:color="DDDDDD"/>
              <w:bottom w:val="single" w:sz="2" w:space="0" w:color="DDDDDD"/>
              <w:right w:val="single" w:sz="2" w:space="0" w:color="DDDDDD"/>
            </w:tcBorders>
            <w:shd w:fill="DDDDDD" w:val="clear"/>
            <w:vAlign w:val="center"/>
          </w:tcPr>
          <w:p>
            <w:pPr>
              <w:pStyle w:val="Ttulodetabela"/>
              <w:spacing w:lineRule="auto" w:line="340" w:before="0" w:after="200"/>
              <w:jc w:val="left"/>
              <w:rPr>
                <w:b/>
                <w:color w:val="000000"/>
              </w:rPr>
            </w:pPr>
            <w:r>
              <w:rPr>
                <w:b/>
                <w:color w:val="000000"/>
              </w:rPr>
              <w:t>Nº do Processo</w:t>
            </w:r>
          </w:p>
        </w:tc>
        <w:tc>
          <w:tcPr>
            <w:tcW w:w="1251" w:type="dxa"/>
            <w:tcBorders>
              <w:top w:val="single" w:sz="2" w:space="0" w:color="DDDDDD"/>
              <w:left w:val="single" w:sz="2" w:space="0" w:color="DDDDDD"/>
              <w:bottom w:val="single" w:sz="2" w:space="0" w:color="DDDDDD"/>
              <w:right w:val="single" w:sz="2" w:space="0" w:color="DDDDDD"/>
            </w:tcBorders>
            <w:shd w:fill="DDDDDD" w:val="clear"/>
            <w:vAlign w:val="center"/>
          </w:tcPr>
          <w:p>
            <w:pPr>
              <w:pStyle w:val="Ttulodetabela"/>
              <w:spacing w:lineRule="auto" w:line="340" w:before="0" w:after="200"/>
              <w:jc w:val="left"/>
              <w:rPr>
                <w:b/>
                <w:color w:val="000000"/>
              </w:rPr>
            </w:pPr>
            <w:r>
              <w:rPr>
                <w:b/>
                <w:color w:val="000000"/>
              </w:rPr>
              <w:t>Tipo</w:t>
            </w:r>
          </w:p>
        </w:tc>
        <w:tc>
          <w:tcPr>
            <w:tcW w:w="5484" w:type="dxa"/>
            <w:tcBorders>
              <w:top w:val="single" w:sz="2" w:space="0" w:color="DDDDDD"/>
              <w:left w:val="single" w:sz="2" w:space="0" w:color="DDDDDD"/>
              <w:bottom w:val="single" w:sz="2" w:space="0" w:color="DDDDDD"/>
              <w:right w:val="single" w:sz="2" w:space="0" w:color="DDDDDD"/>
            </w:tcBorders>
            <w:shd w:fill="DDDDDD" w:val="clear"/>
            <w:vAlign w:val="center"/>
          </w:tcPr>
          <w:p>
            <w:pPr>
              <w:pStyle w:val="Ttulodetabela"/>
              <w:spacing w:lineRule="auto" w:line="340" w:before="0" w:after="200"/>
              <w:jc w:val="left"/>
              <w:rPr>
                <w:b/>
                <w:color w:val="000000"/>
              </w:rPr>
            </w:pPr>
            <w:r>
              <w:rPr>
                <w:b/>
                <w:color w:val="000000"/>
              </w:rPr>
              <w:t>Objeto</w:t>
            </w:r>
          </w:p>
        </w:tc>
        <w:tc>
          <w:tcPr>
            <w:tcW w:w="2852" w:type="dxa"/>
            <w:tcBorders>
              <w:top w:val="single" w:sz="2" w:space="0" w:color="DDDDDD"/>
              <w:left w:val="single" w:sz="2" w:space="0" w:color="DDDDDD"/>
              <w:bottom w:val="single" w:sz="2" w:space="0" w:color="DDDDDD"/>
              <w:right w:val="single" w:sz="2" w:space="0" w:color="DDDDDD"/>
            </w:tcBorders>
            <w:shd w:fill="DDDDDD" w:val="clear"/>
            <w:vAlign w:val="center"/>
          </w:tcPr>
          <w:p>
            <w:pPr>
              <w:pStyle w:val="Ttulodetabela"/>
              <w:spacing w:lineRule="auto" w:line="340" w:before="0" w:after="200"/>
              <w:jc w:val="left"/>
              <w:rPr>
                <w:b/>
                <w:color w:val="000000"/>
              </w:rPr>
            </w:pPr>
            <w:r>
              <w:rPr>
                <w:b/>
                <w:color w:val="000000"/>
              </w:rPr>
              <w:t>Vencedor</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112/2021</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Prestação do serviço de desodorização de ambientes.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BOBSON PERNAMBUCANA HIGIENE LTDA-ME</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146/2021</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Manutenção das catracas de acesso de pessoas.</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BLENDON WOSHINGTON RODRIGUES GOMES 10279939400</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148/2021</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Manutenção das cancelas de acesso ao estacionamento.</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BLENDON WOSHINGTON RODRIGUES GOMES 10279939400</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05/2022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Aquisição emergencial de garrafões de água mineral.</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CYRO M DA FONTE COMÉRCIO DE ÁGUA EIRELI - ME</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06/2022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Locação de painel eletrônico do tipo "videowall".</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PLENO RECIFE LOCAÇÕES AUDIOVISUAL LTDA - EPP</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010/2022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Inexigibilidade</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Assinaturas anuais diárias (jornais impressos) da Folha de Pernambuco.</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DJ COMUNICAÇÃO E PUBLICIDADE LTDA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014/2022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Serviços de fornecimento de água e esgotamento sanitário</w:t>
            </w:r>
            <w:r>
              <w:rPr>
                <w:color w:val="000000"/>
              </w:rPr>
              <w:t>.</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Companhia Pernambucana de Saneamento - COMPESA</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016/2022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empresa especializada para fornecimento mensal, à câmara municipal do recife, por um período de 12 (doze) meses, de água mineral, café e açúcar.</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Licitação deserta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017/2022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direta da Associação Pernambucana de Cegos para prestação de serviço de interpretação simultânea/consecutiva em LIBRAS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APEC - Associação Pernambucana de Cegos</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020/2022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Aquisição emergencial de café e açúcar.</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LL PRODUTOS DE LIMPEZA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028/2022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empresa especializada na prestação de serviços de administração e gerenciamento de documentos de legitimação eletrônicos (cartão alimentação), disponibilizados pela contratada e destinados á aquisição de gêneros alimentícios, para serem utilizados pela Câmara Municipal do Recife.</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LE CARD ADMINISTRADORA DE CARTÕES LTDA</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036/2022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Substituição da cobertura de policarbonato do plenário.</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Licitação deserta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037/2022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Prestação de serviço de transporte público de passageiros nos trechos recife/carpina e carpina/recife, pelo período de 12 (doze) meses.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ELSON SOUTO &amp; CIA. LTDA</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038/2022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Infraestrutura de cabeamento estruturado e sistemas de alarme e detecção de incêndio.</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ZERO UM INFORMATICA ENGENHARIA E REPRESENTAÇÕES LTDA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045/2022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Inexigibilidade</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Fornecimento de assinatura de ferramenta de pesquisa e comparação de preços praticados pela administração pública, pelo período de 12 (doze) meses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NP TECNOLOGIA E GESTÃO DE DADOS LTDA</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050/2022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Dispensa</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Aquisição emergencial de água mineral, café e açúcar.</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150"/>
              <w:ind w:left="0" w:right="0" w:hanging="0"/>
              <w:rPr>
                <w:color w:val="000000"/>
              </w:rPr>
            </w:pPr>
            <w:r>
              <w:rPr>
                <w:color w:val="000000"/>
              </w:rPr>
              <w:t>CYRO M DA FONTE COMÉRCIO DE ÁGUA LTDA</w:t>
            </w:r>
          </w:p>
          <w:p>
            <w:pPr>
              <w:pStyle w:val="Contedodatabela"/>
              <w:spacing w:lineRule="auto" w:line="340" w:before="0" w:after="150"/>
              <w:ind w:left="0" w:right="0" w:hanging="0"/>
              <w:rPr>
                <w:color w:val="000000"/>
              </w:rPr>
            </w:pPr>
            <w:r>
              <w:rPr>
                <w:color w:val="000000"/>
              </w:rPr>
              <w:t>HILDA PINHEIRO DA SILVA 10236350463</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051/2022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150"/>
              <w:ind w:left="0" w:right="0" w:hanging="0"/>
              <w:rPr>
                <w:color w:val="000000"/>
              </w:rPr>
            </w:pPr>
            <w:r>
              <w:rPr>
                <w:strike w:val="false"/>
                <w:dstrike w:val="false"/>
                <w:color w:val="000000"/>
                <w:u w:val="none"/>
                <w:effect w:val="none"/>
                <w:shd w:fill="auto" w:val="clear"/>
              </w:rPr>
              <w:t>Contratação de empresa especializada para fornecimento mensal, à câmara municipal do recife, por um período de 12 (doze) meses, de água mineral, café e açúcar.</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150"/>
              <w:ind w:left="0" w:right="0" w:hanging="0"/>
              <w:rPr>
                <w:color w:val="000000"/>
              </w:rPr>
            </w:pPr>
            <w:r>
              <w:rPr>
                <w:color w:val="000000"/>
              </w:rPr>
              <w:t>CHRISTIANNE AMORIM BENJAMIN COMÉRCIO DE ÁGUAS – ME</w:t>
            </w:r>
          </w:p>
          <w:p>
            <w:pPr>
              <w:pStyle w:val="Contedodatabela"/>
              <w:spacing w:lineRule="auto" w:line="340" w:before="0" w:after="150"/>
              <w:ind w:left="0" w:right="0" w:hanging="0"/>
              <w:rPr>
                <w:color w:val="000000"/>
              </w:rPr>
            </w:pPr>
            <w:r>
              <w:rPr>
                <w:color w:val="000000"/>
              </w:rPr>
              <w:t>N L MONTEIRO DA SILVA COMERCIAL EIRELI – ME</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063/2022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empresa especializada visando a aquisição e instalação de equipamentos de sonorização, bem como acessórios e periféricos, com treinamento de pessoal.</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RIOLE ELETRONICA LTDA - ME</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068/2022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empresa especializada, visando a prestação de serviços de condução de veículos, através de motoristas devidamente habilitados, com CNH "B" ou superior, para atender às necessidades da Câmara Municipal do Recife pelo período de 12 (doze) meses.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SOLIMP TERCEIRIZAÇÕES DE MÃO DE OBRA EIRELI</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074/2022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serviços de telefonia móvel pessoal - SMP, com tecnologia GSM e longa distância com disponibilização de estações móveis (aparelhos), redes de dados e internet, contratação de linha de dados (mini modens), com tecnologia mínima 4G, para acesso ilimitado a internet, para atender às demandas da Câmara Municipal do Recife, pelo período de 12 (doze) meses.</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TELEFÔNICA BRASIL S/A</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075/2022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Formação de registro de preço para eventual contratação de empresa especializada na prestação de serviço de locação de veículos, para atender as necessidades da Câmara Municipal do Recife, pelo período de 12 meses.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SANEAPE LOCAÇÕES LTDA</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078/2022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Inexigibilidade</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Inscrição de servidores no 3º Congresso Brasileiro de Compras Públicas.</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INSTITUTO NEGÓCIOS PÚBLICOS DO BRASIL - ESTUDOS E PESQUISS NA ADMINISTRAÇÃO PÚBLICA - INP LTDA ME</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081/2022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Formação de registro de preço para eventual contratação de empresa especializada na prestação de serviços de agenciamento de viagens, compreendendo emissão, remarcação e cancelamento de bilhetes de passagens aéreas no âmbito nacional e internacional, através de taxa de transação, pelo período de 12 meses.</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0"/>
              <w:rPr>
                <w:color w:val="000000"/>
              </w:rPr>
            </w:pPr>
            <w:r>
              <w:rPr>
                <w:color w:val="000000"/>
              </w:rPr>
              <w:t>BRASLUSO TURISMO</w:t>
            </w:r>
          </w:p>
          <w:p>
            <w:pPr>
              <w:pStyle w:val="Contedodatabela"/>
              <w:spacing w:lineRule="auto" w:line="340" w:before="0" w:after="0"/>
              <w:rPr>
                <w:color w:val="000000"/>
              </w:rPr>
            </w:pPr>
            <w:r>
              <w:rPr>
                <w:color w:val="000000"/>
              </w:rPr>
              <w:t>LTDA EPP</w:t>
            </w:r>
          </w:p>
        </w:tc>
      </w:tr>
      <w:tr>
        <w:trPr/>
        <w:tc>
          <w:tcPr>
            <w:tcW w:w="1185"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090/2022</w:t>
            </w:r>
          </w:p>
        </w:tc>
        <w:tc>
          <w:tcPr>
            <w:tcW w:w="1251"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color w:val="000000"/>
              </w:rPr>
              <w:t>Pregão eletrônico</w:t>
            </w:r>
          </w:p>
        </w:tc>
        <w:tc>
          <w:tcPr>
            <w:tcW w:w="5484"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Contratação de empresa especializada para a prestação de serviço de serralharia, visando a aquisição e reparo de portões e grades de segurança, a serem utilizados na Sede e Anexos da Câmara Municipal do Recife.</w:t>
            </w:r>
          </w:p>
        </w:tc>
        <w:tc>
          <w:tcPr>
            <w:tcW w:w="2852" w:type="dxa"/>
            <w:tcBorders>
              <w:top w:val="single" w:sz="2" w:space="0" w:color="DDDDDD"/>
              <w:left w:val="single" w:sz="2" w:space="0" w:color="DDDDDD"/>
              <w:bottom w:val="single" w:sz="2" w:space="0" w:color="DDDDDD"/>
              <w:right w:val="single" w:sz="2" w:space="0" w:color="DDDDDD"/>
            </w:tcBorders>
            <w:shd w:fill="F9F9F9" w:val="clear"/>
            <w:vAlign w:val="center"/>
          </w:tcPr>
          <w:p>
            <w:pPr>
              <w:pStyle w:val="Contedodatabela"/>
              <w:spacing w:lineRule="auto" w:line="340" w:before="0" w:after="0"/>
              <w:rPr>
                <w:color w:val="000000"/>
              </w:rPr>
            </w:pPr>
            <w:r>
              <w:rPr>
                <w:color w:val="000000"/>
              </w:rPr>
              <w:t>G O DOS SANTOS CONSTRUÇÕES EIRELI - ME</w:t>
            </w:r>
          </w:p>
        </w:tc>
      </w:tr>
      <w:tr>
        <w:trPr/>
        <w:tc>
          <w:tcPr>
            <w:tcW w:w="1185"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092/2022</w:t>
            </w:r>
          </w:p>
        </w:tc>
        <w:tc>
          <w:tcPr>
            <w:tcW w:w="1251"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Inexigibilidade</w:t>
            </w:r>
          </w:p>
        </w:tc>
        <w:tc>
          <w:tcPr>
            <w:tcW w:w="5484"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strike w:val="false"/>
                <w:dstrike w:val="false"/>
                <w:color w:val="000000"/>
                <w:u w:val="none"/>
                <w:effect w:val="none"/>
                <w:shd w:fill="auto" w:val="clear"/>
              </w:rPr>
              <w:t>Participação de servidores no XXVI Congresso Nacional de Cerimonial e Protocolo.</w:t>
            </w:r>
          </w:p>
        </w:tc>
        <w:tc>
          <w:tcPr>
            <w:tcW w:w="2852" w:type="dxa"/>
            <w:tcBorders>
              <w:top w:val="single" w:sz="2" w:space="0" w:color="DDDDDD"/>
              <w:left w:val="single" w:sz="2" w:space="0" w:color="DDDDDD"/>
              <w:bottom w:val="single" w:sz="2" w:space="0" w:color="DDDDDD"/>
              <w:right w:val="single" w:sz="2" w:space="0" w:color="DDDDDD"/>
            </w:tcBorders>
            <w:shd w:fill="FFFFFF" w:val="clear"/>
            <w:vAlign w:val="center"/>
          </w:tcPr>
          <w:p>
            <w:pPr>
              <w:pStyle w:val="Contedodatabela"/>
              <w:spacing w:lineRule="auto" w:line="340" w:before="0" w:after="200"/>
              <w:rPr>
                <w:color w:val="000000"/>
              </w:rPr>
            </w:pPr>
            <w:r>
              <w:rPr>
                <w:color w:val="000000"/>
              </w:rPr>
              <w:t>COMITE NACIONAL DO CERIMONIAL PUBLICO - CNCP/BRASIL</w:t>
            </w:r>
          </w:p>
        </w:tc>
      </w:tr>
    </w:tbl>
    <w:p>
      <w:pPr>
        <w:pStyle w:val="Normal1"/>
        <w:spacing w:before="0" w:after="200"/>
        <w:rPr>
          <w:color w:val="000000"/>
        </w:rPr>
      </w:pPr>
      <w:r>
        <w:rPr>
          <w:color w:val="000000"/>
        </w:rPr>
      </w:r>
    </w:p>
    <w:sectPr>
      <w:headerReference w:type="default" r:id="rId2"/>
      <w:type w:val="nextPage"/>
      <w:pgSz w:w="11906" w:h="16838"/>
      <w:pgMar w:left="567" w:right="567" w:gutter="0" w:header="567" w:top="708" w:footer="0" w:bottom="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857250" cy="533400"/>
          <wp:effectExtent l="0" t="0" r="0" b="0"/>
          <wp:docPr id="1" name="Imagem 1" descr="https://lh4.googleusercontent.com/_6UAEkHU8CaKSqe7CsIUSwJ3pn33VIKIFvGtmBht38AHToGsNTkKWigKrbLFX5CyoCQCkLkoCLkqrJdAWG9QgVPv8eBN8OknXcBYUWLc4Ks2felbmBEc1XPFrZyT3V8Sp-e3aEWbalSNxJs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lh4.googleusercontent.com/_6UAEkHU8CaKSqe7CsIUSwJ3pn33VIKIFvGtmBht38AHToGsNTkKWigKrbLFX5CyoCQCkLkoCLkqrJdAWG9QgVPv8eBN8OknXcBYUWLc4Ks2felbmBEc1XPFrZyT3V8Sp-e3aEWbalSNxJsNBA"/>
                  <pic:cNvPicPr>
                    <a:picLocks noChangeAspect="1" noChangeArrowheads="1"/>
                  </pic:cNvPicPr>
                </pic:nvPicPr>
                <pic:blipFill>
                  <a:blip r:embed="rId1"/>
                  <a:stretch>
                    <a:fillRect/>
                  </a:stretch>
                </pic:blipFill>
                <pic:spPr bwMode="auto">
                  <a:xfrm>
                    <a:off x="0" y="0"/>
                    <a:ext cx="857250" cy="533400"/>
                  </a:xfrm>
                  <a:prstGeom prst="rect">
                    <a:avLst/>
                  </a:prstGeom>
                </pic:spPr>
              </pic:pic>
            </a:graphicData>
          </a:graphic>
        </wp:inline>
      </w:drawing>
    </w:r>
  </w:p>
  <w:p>
    <w:pPr>
      <w:pStyle w:val="Normal1"/>
      <w:jc w:val="center"/>
      <w:rPr/>
    </w:pPr>
    <w:r>
      <w:rPr>
        <w:rStyle w:val="Fontepargpadro"/>
        <w:rFonts w:eastAsia="Times New Roman" w:cs="Arial" w:ascii="Arial" w:hAnsi="Arial"/>
        <w:b/>
        <w:bCs/>
        <w:color w:val="000000"/>
        <w:u w:val="single"/>
        <w:lang w:eastAsia="pt-BR"/>
      </w:rPr>
      <w:t>CÂMARA MUNICIPAL DO RECIFE</w:t>
    </w:r>
    <w:r>
      <w:rPr>
        <w:rStyle w:val="Fontepargpadro"/>
        <w:rFonts w:eastAsia="Times New Roman" w:cs="Arial" w:ascii="Arial" w:hAnsi="Arial"/>
        <w:b/>
        <w:bCs/>
        <w:color w:val="000000"/>
        <w:lang w:eastAsia="pt-BR"/>
      </w:rPr>
      <w:br/>
      <w:t>Rua Princesa Isabel, 410 – 1°. Andar – Boa Vista – Recife – PE</w:t>
    </w:r>
  </w:p>
  <w:p>
    <w:pPr>
      <w:pStyle w:val="Cabealho"/>
      <w:jc w:val="center"/>
      <w:rPr>
        <w:rFonts w:ascii="Arial" w:hAnsi="Arial" w:cs="Arial"/>
        <w:b/>
        <w:b/>
      </w:rPr>
    </w:pPr>
    <w:r>
      <w:rPr>
        <w:rFonts w:cs="Arial" w:ascii="Arial" w:hAnsi="Arial"/>
        <w:b/>
      </w:rPr>
      <w:t>Portal da Transparência</w:t>
    </w:r>
  </w:p>
  <w:p>
    <w:pPr>
      <w:pStyle w:val="Cabealho"/>
      <w:jc w:val="center"/>
      <w:rPr/>
    </w:pPr>
    <w:r>
      <w:rPr>
        <w:rStyle w:val="Fontepargpadro"/>
        <w:rFonts w:cs="Arial" w:ascii="Arial" w:hAnsi="Arial"/>
      </w:rPr>
      <w:t>Editais 202</w:t>
    </w:r>
    <w:r>
      <w:rPr>
        <w:rStyle w:val="Fontepargpadro"/>
        <w:rFonts w:cs="Arial" w:ascii="Arial" w:hAnsi="Arial"/>
      </w:rPr>
      <w:t>2</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en-US"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2"/>
      <w:u w:val="none"/>
      <w:shd w:fill="auto" w:val="clear"/>
      <w:vertAlign w:val="baseline"/>
      <w:em w:val="none"/>
      <w:lang w:val="pt-BR" w:eastAsia="en-US" w:bidi="ar-SA"/>
    </w:rPr>
  </w:style>
  <w:style w:type="character" w:styleId="Fontepargpadro">
    <w:name w:val="Fonte parág. padrão"/>
    <w:qFormat/>
    <w:rPr/>
  </w:style>
  <w:style w:type="character" w:styleId="TextodebaloChar">
    <w:name w:val="Texto de balão Char"/>
    <w:basedOn w:val="Fontepargpadro"/>
    <w:qFormat/>
    <w:rPr>
      <w:rFonts w:ascii="Tahoma" w:hAnsi="Tahoma" w:cs="Tahoma"/>
      <w:sz w:val="16"/>
      <w:szCs w:val="16"/>
    </w:rPr>
  </w:style>
  <w:style w:type="character" w:styleId="CabealhoChar">
    <w:name w:val="Cabeçalho Char"/>
    <w:basedOn w:val="Fontepargpadro"/>
    <w:qFormat/>
    <w:rPr/>
  </w:style>
  <w:style w:type="character" w:styleId="RodapChar">
    <w:name w:val="Rodapé Char"/>
    <w:basedOn w:val="Fontepargpadro"/>
    <w:qFormat/>
    <w:rPr/>
  </w:style>
  <w:style w:type="character" w:styleId="LinkdaInternet">
    <w:name w:val="Link da Internet"/>
    <w:basedOn w:val="Fontepargpadro"/>
    <w:rPr>
      <w:color w:val="0000FF"/>
      <w:u w:val="single"/>
    </w:rPr>
  </w:style>
  <w:style w:type="character" w:styleId="Internallink">
    <w:name w:val="internal-link"/>
    <w:basedOn w:val="Fontepargpadro"/>
    <w:qFormat/>
    <w:rPr/>
  </w:style>
  <w:style w:type="character" w:styleId="Forte">
    <w:name w:val="Forte"/>
    <w:basedOn w:val="Fontepargpadro"/>
    <w:qFormat/>
    <w:rPr>
      <w:b/>
      <w:bCs/>
    </w:rPr>
  </w:style>
  <w:style w:type="character" w:styleId="Nfaseforte">
    <w:name w:val="Ênfase forte"/>
    <w:qFormat/>
    <w:rPr>
      <w:b/>
      <w:bCs/>
    </w:rPr>
  </w:style>
  <w:style w:type="character" w:styleId="Hyperlink">
    <w:name w:val="Hyperlink"/>
    <w:basedOn w:val="Fontepargpadro"/>
    <w:qFormat/>
    <w:rPr>
      <w:color w:val="0000FF"/>
      <w:u w:val="single"/>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pPr>
    <w:rPr>
      <w:rFonts w:ascii="Calibri" w:hAnsi="Calibri" w:eastAsia="Calibri" w:cs="Calibri"/>
      <w:b w:val="false"/>
      <w:bCs w:val="false"/>
      <w:i w:val="false"/>
      <w:iCs w:val="false"/>
      <w:caps w:val="false"/>
      <w:smallCaps w:val="false"/>
      <w:strike w:val="false"/>
      <w:dstrike w:val="false"/>
      <w:outline w:val="false"/>
      <w:emboss w:val="false"/>
      <w:imprint w:val="false"/>
      <w:color w:val="00000A"/>
      <w:spacing w:val="0"/>
      <w:w w:val="100"/>
      <w:kern w:val="0"/>
      <w:position w:val="0"/>
      <w:sz w:val="22"/>
      <w:sz w:val="22"/>
      <w:szCs w:val="22"/>
      <w:u w:val="none"/>
      <w:shd w:fill="auto" w:val="clear"/>
      <w:vertAlign w:val="baseline"/>
      <w:em w:val="none"/>
      <w:lang w:val="pt-BR" w:eastAsia="en-US" w:bidi="ar-SA"/>
    </w:rPr>
  </w:style>
  <w:style w:type="paragraph" w:styleId="Ttulo">
    <w:name w:val="Título"/>
    <w:basedOn w:val="Normal1"/>
    <w:next w:val="Corpodetexto"/>
    <w:qFormat/>
    <w:pPr>
      <w:keepNext w:val="true"/>
      <w:suppressAutoHyphens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Corpodetexto">
    <w:name w:val="Corpo de texto"/>
    <w:basedOn w:val="Normal1"/>
    <w:qFormat/>
    <w:pPr>
      <w:suppressAutoHyphens w:val="true"/>
      <w:spacing w:lineRule="auto" w:line="288" w:before="0" w:after="140"/>
    </w:pPr>
    <w:rPr/>
  </w:style>
  <w:style w:type="paragraph" w:styleId="Lista">
    <w:name w:val="List"/>
    <w:basedOn w:val="Corpodetexto"/>
    <w:pPr>
      <w:suppressAutoHyphens w:val="true"/>
    </w:pPr>
    <w:rPr>
      <w:rFonts w:cs="Lucida Sans"/>
    </w:rPr>
  </w:style>
  <w:style w:type="paragraph" w:styleId="Legenda">
    <w:name w:val="Caption"/>
    <w:basedOn w:val="Normal1"/>
    <w:qFormat/>
    <w:pPr>
      <w:suppressLineNumbers/>
      <w:suppressAutoHyphens w:val="true"/>
      <w:spacing w:before="120" w:after="120"/>
    </w:pPr>
    <w:rPr>
      <w:rFonts w:cs="Lucida Sans"/>
      <w:i/>
      <w:iCs/>
      <w:sz w:val="24"/>
      <w:szCs w:val="24"/>
    </w:rPr>
  </w:style>
  <w:style w:type="paragraph" w:styleId="Ndice">
    <w:name w:val="Índice"/>
    <w:basedOn w:val="Normal1"/>
    <w:qFormat/>
    <w:pPr>
      <w:suppressLineNumbers/>
      <w:suppressAutoHyphens w:val="true"/>
    </w:pPr>
    <w:rPr>
      <w:rFonts w:cs="Lucida Sans"/>
    </w:rPr>
  </w:style>
  <w:style w:type="paragraph" w:styleId="NormalWeb">
    <w:name w:val="Normal (Web)"/>
    <w:basedOn w:val="Normal1"/>
    <w:qFormat/>
    <w:pPr>
      <w:suppressAutoHyphens w:val="true"/>
      <w:spacing w:lineRule="auto" w:line="240"/>
    </w:pPr>
    <w:rPr>
      <w:rFonts w:ascii="Times New Roman" w:hAnsi="Times New Roman" w:eastAsia="Times New Roman" w:cs="Times New Roman"/>
      <w:sz w:val="24"/>
      <w:szCs w:val="24"/>
      <w:lang w:eastAsia="pt-BR"/>
    </w:rPr>
  </w:style>
  <w:style w:type="paragraph" w:styleId="Textodebalo">
    <w:name w:val="Texto de balão"/>
    <w:basedOn w:val="Normal1"/>
    <w:qFormat/>
    <w:pPr>
      <w:suppressAutoHyphens w:val="true"/>
      <w:spacing w:lineRule="auto" w:line="240" w:before="0" w:after="0"/>
    </w:pPr>
    <w:rPr>
      <w:rFonts w:ascii="Tahoma" w:hAnsi="Tahoma" w:cs="Tahoma"/>
      <w:sz w:val="16"/>
      <w:szCs w:val="16"/>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1"/>
    <w:pPr>
      <w:tabs>
        <w:tab w:val="clear" w:pos="708"/>
        <w:tab w:val="center" w:pos="4252" w:leader="none"/>
        <w:tab w:val="right" w:pos="8504" w:leader="none"/>
      </w:tabs>
      <w:suppressAutoHyphens w:val="true"/>
      <w:spacing w:lineRule="auto" w:line="240" w:before="0" w:after="0"/>
    </w:pPr>
    <w:rPr/>
  </w:style>
  <w:style w:type="paragraph" w:styleId="Rodap">
    <w:name w:val="Footer"/>
    <w:basedOn w:val="Normal1"/>
    <w:pPr>
      <w:tabs>
        <w:tab w:val="clear" w:pos="708"/>
        <w:tab w:val="center" w:pos="4252" w:leader="none"/>
        <w:tab w:val="right" w:pos="8504" w:leader="none"/>
      </w:tabs>
      <w:suppressAutoHyphens w:val="true"/>
      <w:spacing w:lineRule="auto" w:line="240" w:before="0" w:after="0"/>
    </w:pPr>
    <w:rPr/>
  </w:style>
  <w:style w:type="paragraph" w:styleId="Contedodatabela">
    <w:name w:val="Conteúdo da tabela"/>
    <w:basedOn w:val="Normal1"/>
    <w:qFormat/>
    <w:pPr>
      <w:suppressAutoHyphens w:val="true"/>
    </w:pPr>
    <w:rPr/>
  </w:style>
  <w:style w:type="paragraph" w:styleId="Ttulodetabela">
    <w:name w:val="Título de tabela"/>
    <w:basedOn w:val="Contedodatabela"/>
    <w:qFormat/>
    <w:pPr>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TotalTime>
  <Application>LibreOffice/7.2.2.2$Windows_X86_64 LibreOffice_project/02b2acce88a210515b4a5bb2e46cbfb63fe97d56</Application>
  <AppVersion>15.0000</AppVersion>
  <Pages>4</Pages>
  <Words>725</Words>
  <Characters>4386</Characters>
  <CharactersWithSpaces>5007</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2021-12-03T15:04:00Z</dcterms:created>
  <dc:creator>Ricardo Ferraz</dc:creator>
  <dc:description/>
  <dc:language>pt-BR</dc:language>
  <cp:lastModifiedBy/>
  <cp:lastPrinted>2018-04-23T15:58:00Z</cp:lastPrinted>
  <dcterms:modified xsi:type="dcterms:W3CDTF">2022-12-02T08:58:44Z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